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A törvényes képviselő nyilatkozata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a rendezvényen résztvevő egészségügyi alkalmasságáról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ahoma" w:cs="Tahoma" w:eastAsia="Tahoma" w:hAnsi="Tahoma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Vyhlásenie zákonného zástupcu o zdravotnej spôsobilosti účastníka podujatia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2" w:sz="8" w:val="single"/>
        </w:pBd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Kijelentem, hogy a résztvevő (neve) /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Vyhlasujem, že účastník/čka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r7xvfn6pwnl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2" w:sz="8" w:val="single"/>
        </w:pBd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Szül. dátum /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Dátum nar.: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  <w:tab/>
        <w:tab/>
        <w:tab/>
        <w:t xml:space="preserve">bytom /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lakhelye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sz w:val="20"/>
          <w:szCs w:val="20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nem mutat akut megbetegedésre utaló tüneteket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(például láz vagy hasmenés);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sz w:val="20"/>
          <w:szCs w:val="20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nem mutat, és az elmúlt két hétben sem mutatott vírusos fertőzésre utaló tüneteket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(például láz, köhögés, légzési nehézségek, étvágyvesztés, szaglószervi nehézségek stb.);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sz w:val="20"/>
          <w:szCs w:val="20"/>
          <w:u w:val="none"/>
        </w:rPr>
      </w:pPr>
      <w:bookmarkStart w:colFirst="0" w:colLast="0" w:name="_n1yrcf1katj0" w:id="2"/>
      <w:bookmarkEnd w:id="2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 törvényes képviselő nem rendelkezik olyan információval, hogy a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gyermek a rendezvényre indulást megelőző 14 napban kapcsolatba lépett volna olyan személlyel, akinek vírusos fertőzése lett volna, vagy vírusos fertőzésre utaló tüneteket mutatott volna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(például hasmenés, angina, vírusos májgyulladás, agyhártyagyulladás, lázas megbetegedés, kiütések, covid-19);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sz w:val="20"/>
          <w:szCs w:val="20"/>
          <w:u w:val="none"/>
        </w:rPr>
      </w:pPr>
      <w:bookmarkStart w:colFirst="0" w:colLast="0" w:name="_5hxky8ud398r" w:id="3"/>
      <w:bookmarkEnd w:id="3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az illetékes közegészségügyi hivatal, sem a kezelőorvos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nem rendeltek el karantént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a szóban forgó személynek, családtagjainak és a vele egy háztartásban élők számára (beleértve az egészségügyi felügyeletet, orvosi megfigyelést is);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sz w:val="20"/>
          <w:szCs w:val="20"/>
          <w:u w:val="none"/>
        </w:rPr>
      </w:pPr>
      <w:bookmarkStart w:colFirst="0" w:colLast="0" w:name="_7n3wf6wky8w4" w:id="4"/>
      <w:bookmarkEnd w:id="4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alkalmas közösségben tartózkodni.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eig6wiwpdi3w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i w:val="1"/>
          <w:sz w:val="16"/>
          <w:szCs w:val="16"/>
          <w:rtl w:val="0"/>
        </w:rPr>
        <w:t xml:space="preserve">neprejavuje príznaky akútneho ochorenia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 (napríklad horúčky alebo hnačky),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i w:val="1"/>
          <w:sz w:val="16"/>
          <w:szCs w:val="16"/>
          <w:rtl w:val="0"/>
        </w:rPr>
        <w:t xml:space="preserve">neprejavuje a ani v posledných dvoch týždňoch neprejavoval/-a príznaky vírusového infekčného ochorenia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 (horúčka, kašeľ, dýchavičnosť, náhla strata chuti a čuchu apod.),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g7c6kzn0xmj0" w:id="6"/>
      <w:bookmarkEnd w:id="6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zákonný zástupca nedisponuje informáciou, že by </w:t>
      </w:r>
      <w:r w:rsidDel="00000000" w:rsidR="00000000" w:rsidRPr="00000000">
        <w:rPr>
          <w:rFonts w:ascii="Tahoma" w:cs="Tahoma" w:eastAsia="Tahoma" w:hAnsi="Tahoma"/>
          <w:b w:val="1"/>
          <w:i w:val="1"/>
          <w:sz w:val="16"/>
          <w:szCs w:val="16"/>
          <w:rtl w:val="0"/>
        </w:rPr>
        <w:t xml:space="preserve">dieťa počas 14 dní predchádzajúcich dňu odchodu na zotavovacie podujatie prišlo do kontaktu s osobou chorou na prenosné ochorenie alebo osobou podozrivou z nákazy prenosným ochorením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 (napr. hnačka, angína, vírusový zápal pečene, zápal mozgových blán, horúčkové ochorenie s vyrážkami, covid-19);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36fayqct9yi7" w:id="7"/>
      <w:bookmarkEnd w:id="7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a že príslušný orgán verejného zdravotníctva ani ošetrujúci lekár menovanej osobe, rodinným príslušníkom alebo iným osobám, ktoré s menovanou osobou žijú spoločne v domácnosti, </w:t>
      </w:r>
      <w:r w:rsidDel="00000000" w:rsidR="00000000" w:rsidRPr="00000000">
        <w:rPr>
          <w:rFonts w:ascii="Tahoma" w:cs="Tahoma" w:eastAsia="Tahoma" w:hAnsi="Tahoma"/>
          <w:b w:val="1"/>
          <w:i w:val="1"/>
          <w:sz w:val="16"/>
          <w:szCs w:val="16"/>
          <w:rtl w:val="0"/>
        </w:rPr>
        <w:t xml:space="preserve">nenariadil karanténne opatrenie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 (karanténu, zvýšený zdravotný dozor alebo lekársky dohľad);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oj5j7qbgjlwa" w:id="8"/>
      <w:bookmarkEnd w:id="8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je spôsobilý/á na pobyt v kolektíve.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Kijelentem, hogy megértettem az emberi egészségre vonatkozó magas rizikófaktor meghatározását (lásd lejjebb), és ezeket szem előtt tartom, amikor döntést hozok gyermekem részvételéről a rendezvényen. A szóban forgó személy alkalmas arra, hogy részt vegyen a cserkészrendezvényen, ami a következő időpontban és helyszínen valósul meg: /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Prehlasujem, že som bol/-a oboznámený/-á s vymedzením osôb s rizikovými faktormi (viď nižšie) a s odporúčaním, aby som zvážil/-a tieto rizikové faktory pri rozhodovaní o účasti na podujatí. Uvedená osoba je schopná zúčastniť sa skautského podujatia v termíne a mieste: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2" w:sz="8" w:val="single"/>
        </w:pBd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Tudomásul veszem, hogy amennyiben a vírusos fertőzés jelenik meg a rendezvényen, úgy a rendezvény idő előtt bezárásra kerül. Ebben az esetben köteles vagyok biztosítani a gyermekem vagy a képviseletembe helyezett személy hazaszállítását a rendezvény helyszínéről, majd ezt követően az illetékes közegészségügyi hivatal vagy kezelőorvos utasításait követni. Amennyiben a rendezvény előre nem látható okokból kifolyólag a tervezettnél korábban ér véget, nem várom el, hogy a teljes részvételi díjat visszatérítsék, legfeljebb a még fel nem használt anyagi tartalékból lehetünk jogosultak visszatérítésre (az előzetes kifizetések miatt ez nem feltétlenül kell, hogy arányos legyen a rendezvényből hátralévő napok számával).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9f3u3zx9ew3l" w:id="9"/>
      <w:bookmarkEnd w:id="9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 jelentkezés során megadtam a rendezvény ideje alatt működő elérhetőségeimet, arra az esetre, ha szükség lenne a résztvevő mielőbbi hazatérésére.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6djbrugxokur" w:id="10"/>
      <w:bookmarkEnd w:id="1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Tisztában vagyok a hamis kijelentések jogi következményeivel, illetve azzal, hogy ilyen cselekedet esetén a törvénykönyv § 56 paragrafusának 355/2007 Z.z. számú törvénye ellen vétek.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xv912g80sgd7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zci3ob2skcl3" w:id="12"/>
      <w:bookmarkEnd w:id="12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Beriem na vedomie, že v prípade výskytu infekčného ochorenia na podujaít, bude tento podujatie ukončené. V takom prípade som povinný/-á bezodkladne zabezpečiť osobne alebo poverenou osobou odvoz menovanej osoby z podujatia domov a následne sa riadiť pokynmi príslušného úradu verejného zdravotníctva a ošetrujúceho lekára. V prípade ukončenia podujatia som si vedomý/-á, že nemôžem očakávať vrátenie celého účastníckeho poplatku, ale maximálne doposiaľ nevynaloženej čiastky (čo s ohľadom na fixné náklady podujatia nemusí zodpovedať čiastke v pomere za nerealizované dni).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zci3ob2skcl3" w:id="12"/>
      <w:bookmarkEnd w:id="12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V prihláške uvádzam funkčný kontakt počas doby konania podujatia pre prípad nutnosti bezodkladného návratu účastníka domov.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f2mls61i3ysx" w:id="13"/>
      <w:bookmarkEnd w:id="13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Som si vedomý/-á právnych následkov v prípade nepravdivého vyhlásenia, najmä som si vedomý/-á, že by som sa dopustil/-a priestupku podľa § 56 zákona č. 355/2007 Z. z. o ochrane, podpore a rozvoji verejného zdravia a o zmene a doplnení  niektorých zákonov.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uk1haepsdqic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oaie1hig6cn5" w:id="15"/>
      <w:bookmarkEnd w:id="15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 gyermek által rendszeresen szedett gyógyszerek: (a gyógyszer neve, adagolása és alkalmazásának gyakorisága) /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Ak dieťa pravidelne užíva lieky, aké: (názov lieku, dávkovanie a frekvencia užívania lieku)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93qby7blfcl8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c38rr7afdwnd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3vwjccnckcd0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ahqf22cwtdi5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2" w:sz="8" w:val="single"/>
        </w:pBd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8xm0z35md4g9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oaie1hig6cn5" w:id="15"/>
      <w:bookmarkEnd w:id="15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Ha egészségügyi állapota a terhelés mérséklését igényli, ételérzékenysége vagy allergiája van, akkor azt itt részletezze: /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Ak si zdravotný stav vyžaduje obmedzenia záťaže, má stravovacie obmedzenia alebo alergie, bližšie informácie uveďte tu: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93qby7blfcl8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u62zcv2ln2cd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3vwjccnckcd0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ahqf22cwtdi5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bottom w:color="000000" w:space="2" w:sz="8" w:val="single"/>
        </w:pBd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q9w8bdnubjk0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ahoma" w:cs="Tahoma" w:eastAsia="Tahoma" w:hAnsi="Tahoma"/>
          <w:b w:val="1"/>
          <w:sz w:val="20"/>
          <w:szCs w:val="20"/>
        </w:rPr>
      </w:pPr>
      <w:bookmarkStart w:colFirst="0" w:colLast="0" w:name="_h53eely2rxnh" w:id="23"/>
      <w:bookmarkEnd w:id="23"/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A Szlovák Egészségügyi Minisztérium által meghatározott rizikófaktorok: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sz w:val="20"/>
          <w:szCs w:val="20"/>
          <w:u w:val="none"/>
        </w:rPr>
      </w:pPr>
      <w:bookmarkStart w:colFirst="0" w:colLast="0" w:name="_anbct9l6c1kf" w:id="24"/>
      <w:bookmarkEnd w:id="24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65 évnél magasabb kor és krónikus betegségek.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sz w:val="20"/>
          <w:szCs w:val="20"/>
          <w:u w:val="none"/>
        </w:rPr>
      </w:pPr>
      <w:bookmarkStart w:colFirst="0" w:colLast="0" w:name="_anbct9l6c1kf" w:id="24"/>
      <w:bookmarkEnd w:id="24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Régóta tartó, gyógyszeres kezelést igénylő légzőszervi krónikus betegségek (az astma bronchiale közepesen komoly és komoly formája is bele tartozik).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sz w:val="20"/>
          <w:szCs w:val="20"/>
          <w:u w:val="none"/>
        </w:rPr>
      </w:pPr>
      <w:bookmarkStart w:colFirst="0" w:colLast="0" w:name="_anbct9l6c1kf" w:id="24"/>
      <w:bookmarkEnd w:id="24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Régóta tartó, gyógyszeres kezelést igénylő szív- és érrendszeri megbetegedések (pl. magas vérnyomás).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sz w:val="20"/>
          <w:szCs w:val="20"/>
          <w:u w:val="none"/>
        </w:rPr>
      </w:pPr>
      <w:bookmarkStart w:colFirst="0" w:colLast="0" w:name="_anbct9l6c1kf" w:id="24"/>
      <w:bookmarkEnd w:id="24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Immunrendszeri rendellenességek, pl.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line="240" w:lineRule="auto"/>
        <w:ind w:left="850.3937007874016" w:hanging="360.00000000000006"/>
        <w:jc w:val="both"/>
        <w:rPr>
          <w:rFonts w:ascii="Tahoma" w:cs="Tahoma" w:eastAsia="Tahoma" w:hAnsi="Tahoma"/>
          <w:sz w:val="20"/>
          <w:szCs w:val="20"/>
          <w:u w:val="none"/>
        </w:rPr>
      </w:pPr>
      <w:bookmarkStart w:colFirst="0" w:colLast="0" w:name="_anbct9l6c1kf" w:id="24"/>
      <w:bookmarkEnd w:id="24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immunszuppresszív terápiás kezelés során (szteroidok),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line="240" w:lineRule="auto"/>
        <w:ind w:left="850.3937007874016" w:hanging="360.00000000000006"/>
        <w:jc w:val="both"/>
        <w:rPr>
          <w:rFonts w:ascii="Tahoma" w:cs="Tahoma" w:eastAsia="Tahoma" w:hAnsi="Tahoma"/>
          <w:sz w:val="20"/>
          <w:szCs w:val="20"/>
          <w:u w:val="none"/>
        </w:rPr>
      </w:pPr>
      <w:bookmarkStart w:colFirst="0" w:colLast="0" w:name="_anbct9l6c1kf" w:id="24"/>
      <w:bookmarkEnd w:id="24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rákellenes kezeléskor,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line="240" w:lineRule="auto"/>
        <w:ind w:left="850.3937007874016" w:hanging="360.00000000000006"/>
        <w:jc w:val="both"/>
        <w:rPr>
          <w:rFonts w:ascii="Tahoma" w:cs="Tahoma" w:eastAsia="Tahoma" w:hAnsi="Tahoma"/>
          <w:sz w:val="20"/>
          <w:szCs w:val="20"/>
          <w:u w:val="none"/>
        </w:rPr>
      </w:pPr>
      <w:bookmarkStart w:colFirst="0" w:colLast="0" w:name="_anbct9l6c1kf" w:id="24"/>
      <w:bookmarkEnd w:id="24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szerv- vagy csontvelőátültetést követően.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sz w:val="20"/>
          <w:szCs w:val="20"/>
          <w:u w:val="none"/>
        </w:rPr>
      </w:pPr>
      <w:bookmarkStart w:colFirst="0" w:colLast="0" w:name="_anbct9l6c1kf" w:id="24"/>
      <w:bookmarkEnd w:id="24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Erős túlsúly (BMI 40 kg/m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felett).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sz w:val="20"/>
          <w:szCs w:val="20"/>
          <w:u w:val="none"/>
        </w:rPr>
      </w:pPr>
      <w:bookmarkStart w:colFirst="0" w:colLast="0" w:name="_anbct9l6c1kf" w:id="24"/>
      <w:bookmarkEnd w:id="24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Gyógyszeres kezelést igénylő cukorbetegség.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sz w:val="20"/>
          <w:szCs w:val="20"/>
          <w:u w:val="none"/>
        </w:rPr>
      </w:pPr>
      <w:bookmarkStart w:colFirst="0" w:colLast="0" w:name="_anbct9l6c1kf" w:id="24"/>
      <w:bookmarkEnd w:id="24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Krónikus veseelégtelenség, melynek következtében dialízisre van szükség.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sz w:val="20"/>
          <w:szCs w:val="20"/>
          <w:u w:val="none"/>
        </w:rPr>
      </w:pPr>
      <w:bookmarkStart w:colFirst="0" w:colLast="0" w:name="_anbct9l6c1kf" w:id="24"/>
      <w:bookmarkEnd w:id="24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Elsődleges vagy másodlagos májbetegségek.</w:t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ntepdao0t7ai" w:id="25"/>
      <w:bookmarkEnd w:id="25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Rizikós csoportba tartozik az a személy, aki a fenti pontok közül legalább egybe beletartozik, vagy ha a háztartásában van olyan, aki a fenti pontok közül minimum 1-nek megfelel.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8xm0z35md4g9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ahoma" w:cs="Tahoma" w:eastAsia="Tahoma" w:hAnsi="Tahoma"/>
          <w:b w:val="1"/>
          <w:i w:val="1"/>
          <w:sz w:val="16"/>
          <w:szCs w:val="16"/>
        </w:rPr>
      </w:pPr>
      <w:bookmarkStart w:colFirst="0" w:colLast="0" w:name="_h53eely2rxnh" w:id="23"/>
      <w:bookmarkEnd w:id="23"/>
      <w:r w:rsidDel="00000000" w:rsidR="00000000" w:rsidRPr="00000000">
        <w:rPr>
          <w:rFonts w:ascii="Tahoma" w:cs="Tahoma" w:eastAsia="Tahoma" w:hAnsi="Tahoma"/>
          <w:b w:val="1"/>
          <w:i w:val="1"/>
          <w:sz w:val="16"/>
          <w:szCs w:val="16"/>
          <w:rtl w:val="0"/>
        </w:rPr>
        <w:t xml:space="preserve">Ministerstvo zdravotníctva SR stanovilo nasledujúce rizikové faktory: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53eely2rxnh" w:id="23"/>
      <w:bookmarkEnd w:id="23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Vek nad 65 rokov s pridruženými chronickými chorobami.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4lahpvo6uxfl" w:id="26"/>
      <w:bookmarkEnd w:id="26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Chronické ochorenia pľúc (zahŕňa aj stredne závažnú a závažnú astma bronchiale) s dlhodobou systémovou farmakologickou liečbou.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53eely2rxnh" w:id="23"/>
      <w:bookmarkEnd w:id="23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Ochorenia srdca a/alebo veľkých ciev s dlhodobou systémovou farmakologickou liečbou napr. hypertenzia.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53eely2rxnh" w:id="23"/>
      <w:bookmarkEnd w:id="23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Porucha imunitného systému, napr.</w:t>
      </w:r>
    </w:p>
    <w:p w:rsidR="00000000" w:rsidDel="00000000" w:rsidP="00000000" w:rsidRDefault="00000000" w:rsidRPr="00000000" w14:paraId="00000042">
      <w:pPr>
        <w:numPr>
          <w:ilvl w:val="1"/>
          <w:numId w:val="4"/>
        </w:numPr>
        <w:spacing w:line="240" w:lineRule="auto"/>
        <w:ind w:left="850.3937007874016" w:hanging="360.00000000000006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53eely2rxnh" w:id="23"/>
      <w:bookmarkEnd w:id="23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pri imunosupresívnej liečbe (steroidy, HIV apod.)</w:t>
      </w:r>
    </w:p>
    <w:p w:rsidR="00000000" w:rsidDel="00000000" w:rsidP="00000000" w:rsidRDefault="00000000" w:rsidRPr="00000000" w14:paraId="00000043">
      <w:pPr>
        <w:numPr>
          <w:ilvl w:val="1"/>
          <w:numId w:val="4"/>
        </w:numPr>
        <w:spacing w:line="240" w:lineRule="auto"/>
        <w:ind w:left="850.3937007874016" w:hanging="360.00000000000006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53eely2rxnh" w:id="23"/>
      <w:bookmarkEnd w:id="23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pri protinádorovej liečbe,</w:t>
      </w:r>
    </w:p>
    <w:p w:rsidR="00000000" w:rsidDel="00000000" w:rsidP="00000000" w:rsidRDefault="00000000" w:rsidRPr="00000000" w14:paraId="00000044">
      <w:pPr>
        <w:numPr>
          <w:ilvl w:val="1"/>
          <w:numId w:val="4"/>
        </w:numPr>
        <w:spacing w:line="240" w:lineRule="auto"/>
        <w:ind w:left="850.3937007874016" w:hanging="360.00000000000006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1ahcwu7hmpf" w:id="27"/>
      <w:bookmarkEnd w:id="27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po transplantácii orgánov a/alebo kostnej drene.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53eely2rxnh" w:id="23"/>
      <w:bookmarkEnd w:id="23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Ťažká obezita (BMI nad 40 kg/m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vertAlign w:val="superscript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).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53eely2rxnh" w:id="23"/>
      <w:bookmarkEnd w:id="23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Farmakologicky liečený diabetes mellitus.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53eely2rxnh" w:id="23"/>
      <w:bookmarkEnd w:id="23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Chronické ochorenie obličiek vyžadujúce dočasnú alebo trvalú podporu/náhradu funkcie obličiek (dialýza).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line="240" w:lineRule="auto"/>
        <w:ind w:left="425.19685039370086" w:hanging="360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53eely2rxnh" w:id="23"/>
      <w:bookmarkEnd w:id="23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Ochorenia pečene (primárne nebo sekundárne).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53eely2rxnh" w:id="23"/>
      <w:bookmarkEnd w:id="23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Do rizikovej skupiny patrí osoba, ktorá spĺňa aspoň jeden bod uvedený vyššie alebo pokiaľ niektorý z bodov spĺňa akákoľvek osoba, ktorá s ňou žije v jednej spoločnej domácnosti.</w:t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h53eely2rxnh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lj1ycpf0mdfr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r01qnuuqu6wo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pecjwqqhtw3l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bottom w:color="000000" w:space="2" w:sz="8" w:val="single"/>
        </w:pBd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h53eely2rxnh" w:id="23"/>
      <w:bookmarkEnd w:id="23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Kelt (helyszín): /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V: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  <w:tab/>
        <w:tab/>
        <w:tab/>
        <w:tab/>
        <w:tab/>
        <w:t xml:space="preserve">Dátum: /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dňa: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8fv5riax07u8" w:id="31"/>
      <w:bookmarkEnd w:id="31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(legkorábban a rendezvényre indulást megelőző napon /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najskôr deň pred nástupom na podujatie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lokeubdpdogo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q7xftyn6w75v" w:id="33"/>
      <w:bookmarkEnd w:id="33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Szülő/törvényes képviselő, felnőtt résztvevő aláírása:</w:t>
      </w:r>
    </w:p>
    <w:p w:rsidR="00000000" w:rsidDel="00000000" w:rsidP="00000000" w:rsidRDefault="00000000" w:rsidRPr="00000000" w14:paraId="00000052">
      <w:pPr>
        <w:pBdr>
          <w:bottom w:color="000000" w:space="2" w:sz="8" w:val="single"/>
        </w:pBdr>
        <w:tabs>
          <w:tab w:val="right" w:leader="none" w:pos="10204.606299212599"/>
        </w:tabs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q7xftyn6w75v" w:id="33"/>
      <w:bookmarkEnd w:id="33"/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Meno a podpis zákonného zástupcu resp. podpis dospelého/-ej účastníka/-čky:</w:t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3.8582677165355" w:top="1700.7874015748032" w:left="850.3937007874016" w:right="850.3937007874016" w:header="79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850.3937007874016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14605</wp:posOffset>
          </wp:positionH>
          <wp:positionV relativeFrom="page">
            <wp:posOffset>0</wp:posOffset>
          </wp:positionV>
          <wp:extent cx="7534910" cy="97536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910" cy="9753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Nám. Sv. Štefana 296/6., 929 01 Dunajská Streda - Dunaszerdahely  /  +421 918 512 292  /  szmcs@szmcs.sk  /  www.szmcs.sk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